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 w:rsidRPr="00CE4D0C">
              <w:t xml:space="preserve">Pharmaceutical </w:t>
            </w:r>
            <w:r>
              <w:t>Chemical Analysis</w:t>
            </w:r>
            <w:r w:rsidRPr="00CE4D0C">
              <w:t xml:space="preserve"> Practical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1201202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F05C4C" w:rsidP="00DE602A">
            <w:pPr>
              <w:rPr>
                <w:rFonts w:ascii="Times New Roman" w:hAnsi="Times New Roman"/>
                <w:sz w:val="24"/>
              </w:rPr>
            </w:pPr>
            <w:r w:rsidRPr="002009D4">
              <w:t>3 practical hours</w:t>
            </w:r>
            <w:r>
              <w:t>/week (1 hour online and 2 hours lab works)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</w:t>
            </w:r>
            <w:proofErr w:type="spellStart"/>
            <w:r w:rsidRPr="0003236B">
              <w:rPr>
                <w:rFonts w:ascii="Times New Roman" w:hAnsi="Times New Roman"/>
                <w:b/>
                <w:bCs/>
                <w:sz w:val="24"/>
              </w:rPr>
              <w:t>corequisites</w:t>
            </w:r>
            <w:proofErr w:type="spellEnd"/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 w:rsidRPr="00CE4D0C">
              <w:t xml:space="preserve">Pharmaceutical </w:t>
            </w:r>
            <w:r>
              <w:t>Chemical Analysis, 1201201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 w:rsidRPr="00CE4D0C">
              <w:t xml:space="preserve">Pharmacy and </w:t>
            </w:r>
            <w:proofErr w:type="spellStart"/>
            <w:r w:rsidRPr="00CE4D0C">
              <w:t>PharmD</w:t>
            </w:r>
            <w:proofErr w:type="spellEnd"/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t>The University of Jordan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t>Faculty of Pharmacy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t>Department of Pharmaceutical Sciences</w:t>
            </w:r>
          </w:p>
        </w:tc>
      </w:tr>
      <w:tr w:rsidR="004D364A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Second year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E80691" w:rsidP="00042425">
            <w:pPr>
              <w:rPr>
                <w:rFonts w:ascii="Times New Roman" w:hAnsi="Times New Roman"/>
                <w:sz w:val="24"/>
              </w:rPr>
            </w:pPr>
            <w:r>
              <w:t>202</w:t>
            </w:r>
            <w:r w:rsidR="00042425">
              <w:t>1</w:t>
            </w:r>
            <w:r>
              <w:t>/202</w:t>
            </w:r>
            <w:r w:rsidR="00042425">
              <w:t>2</w:t>
            </w:r>
            <w:r>
              <w:t xml:space="preserve"> </w:t>
            </w:r>
            <w:r w:rsidR="00042425">
              <w:t xml:space="preserve">First </w:t>
            </w:r>
            <w:r>
              <w:t>semester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Del="000E10C1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4D364A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D364A" w:rsidRPr="0003236B" w:rsidRDefault="00E80691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7022AA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7022AA" w:rsidRPr="00E80691" w:rsidRDefault="003F7A5B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r w:rsidR="00E13D8A" w:rsidRPr="00E80691">
                  <w:rPr>
                    <w:rFonts w:ascii="MS Gothic" w:eastAsia="MS Gothic" w:hAnsi="MS Gothic" w:hint="eastAsia"/>
                    <w:sz w:val="24"/>
                    <w:highlight w:val="black"/>
                  </w:rPr>
                  <w:t>☐</w:t>
                </w:r>
              </w:sdtContent>
            </w:sdt>
            <w:r w:rsidR="00391AE6" w:rsidRPr="00E80691">
              <w:rPr>
                <w:rFonts w:ascii="Times New Roman" w:hAnsi="Times New Roman"/>
                <w:sz w:val="24"/>
              </w:rPr>
              <w:t>Blended</w:t>
            </w:r>
            <w:r w:rsidR="00F87BA3" w:rsidRPr="00E80691">
              <w:rPr>
                <w:rFonts w:ascii="Times New Roman" w:hAnsi="Times New Roman"/>
                <w:sz w:val="24"/>
              </w:rPr>
              <w:t xml:space="preserve">       </w:t>
            </w:r>
            <w:r w:rsidR="00391AE6" w:rsidRPr="00E80691">
              <w:rPr>
                <w:rFonts w:ascii="Times New Roman" w:hAnsi="Times New Roman"/>
                <w:sz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F87BA3" w:rsidRPr="00E8069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91AE6" w:rsidRPr="00E80691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7022AA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7022AA" w:rsidRPr="00E80691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80691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7022AA" w:rsidRPr="00E80691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80691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6104C" w:rsidRPr="00E80691" w:rsidRDefault="003F7A5B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E13D8A" w:rsidRPr="00E80691">
                  <w:rPr>
                    <w:rFonts w:ascii="MS Gothic" w:eastAsia="MS Gothic" w:hAnsi="MS Gothic" w:hint="eastAsia"/>
                    <w:sz w:val="24"/>
                    <w:highlight w:val="black"/>
                  </w:rPr>
                  <w:t>☐</w:t>
                </w:r>
              </w:sdtContent>
            </w:sdt>
            <w:r w:rsidR="00F87BA3" w:rsidRPr="00E80691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F87BA3" w:rsidRPr="00435DC2">
                  <w:rPr>
                    <w:rFonts w:ascii="MS Gothic" w:eastAsia="MS Gothic" w:hAnsi="MS Gothic"/>
                    <w:sz w:val="24"/>
                    <w:shd w:val="clear" w:color="auto" w:fill="44546A" w:themeFill="text2"/>
                  </w:rPr>
                  <w:t>☐</w:t>
                </w:r>
              </w:sdtContent>
            </w:sdt>
            <w:r w:rsidR="00F87BA3" w:rsidRPr="00E80691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06104C" w:rsidRPr="00E8069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06104C" w:rsidRPr="00E80691">
              <w:rPr>
                <w:rFonts w:ascii="Times New Roman" w:hAnsi="Times New Roman"/>
                <w:sz w:val="24"/>
              </w:rPr>
              <w:t xml:space="preserve">Skype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06104C" w:rsidRPr="00E8069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06104C" w:rsidRPr="00E80691">
              <w:rPr>
                <w:rFonts w:ascii="Times New Roman" w:hAnsi="Times New Roman"/>
                <w:sz w:val="24"/>
              </w:rPr>
              <w:t xml:space="preserve">Zoom     </w:t>
            </w:r>
          </w:p>
          <w:p w:rsidR="007022AA" w:rsidRPr="0003236B" w:rsidRDefault="003F7A5B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06104C" w:rsidRPr="00E8069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7BA3" w:rsidRPr="00E80691">
              <w:rPr>
                <w:rFonts w:ascii="Times New Roman" w:hAnsi="Times New Roman"/>
                <w:sz w:val="24"/>
              </w:rPr>
              <w:t>Other</w:t>
            </w:r>
            <w:r w:rsidR="0006104C" w:rsidRPr="00E80691">
              <w:rPr>
                <w:rFonts w:ascii="Times New Roman" w:hAnsi="Times New Roman"/>
                <w:sz w:val="24"/>
              </w:rPr>
              <w:t>s</w:t>
            </w:r>
            <w:r w:rsidR="00F87BA3" w:rsidRPr="00E80691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4D364A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022AA"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4D364A" w:rsidRPr="0003236B" w:rsidRDefault="00042425" w:rsidP="00E15406">
            <w:pPr>
              <w:rPr>
                <w:rFonts w:ascii="Times New Roman" w:hAnsi="Times New Roman"/>
                <w:sz w:val="24"/>
              </w:rPr>
            </w:pPr>
            <w:r>
              <w:t>10/10</w:t>
            </w:r>
            <w:r w:rsidR="002A7ECF">
              <w:t xml:space="preserve"> </w:t>
            </w:r>
            <w:r w:rsidR="00E80691">
              <w:t>/202</w:t>
            </w:r>
            <w:r w:rsidR="00E15406">
              <w:t>1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:rsidTr="00472BA9">
        <w:trPr>
          <w:trHeight w:val="1043"/>
        </w:trPr>
        <w:tc>
          <w:tcPr>
            <w:tcW w:w="10000" w:type="dxa"/>
          </w:tcPr>
          <w:p w:rsidR="003E75D7" w:rsidRPr="00E80691" w:rsidRDefault="003E75D7" w:rsidP="00DE602A">
            <w:pPr>
              <w:rPr>
                <w:rFonts w:ascii="Times New Roman" w:hAnsi="Times New Roman"/>
                <w:sz w:val="24"/>
              </w:rPr>
            </w:pPr>
            <w:r w:rsidRPr="00E80691">
              <w:rPr>
                <w:rFonts w:ascii="Times New Roman" w:hAnsi="Times New Roman"/>
                <w:sz w:val="24"/>
              </w:rPr>
              <w:t>Name:</w:t>
            </w:r>
            <w:r w:rsidR="00E80691">
              <w:rPr>
                <w:rFonts w:ascii="Times New Roman" w:hAnsi="Times New Roman"/>
                <w:sz w:val="24"/>
              </w:rPr>
              <w:t xml:space="preserve"> Ruba </w:t>
            </w:r>
            <w:proofErr w:type="spellStart"/>
            <w:r w:rsidR="00E80691">
              <w:rPr>
                <w:rFonts w:ascii="Times New Roman" w:hAnsi="Times New Roman"/>
                <w:sz w:val="24"/>
              </w:rPr>
              <w:t>Tahsin</w:t>
            </w:r>
            <w:proofErr w:type="spellEnd"/>
            <w:r w:rsidR="00E80691">
              <w:rPr>
                <w:rFonts w:ascii="Times New Roman" w:hAnsi="Times New Roman"/>
                <w:sz w:val="24"/>
              </w:rPr>
              <w:t xml:space="preserve"> Tarawneh</w:t>
            </w:r>
          </w:p>
          <w:p w:rsidR="003E75D7" w:rsidRPr="00E80691" w:rsidRDefault="003E75D7" w:rsidP="00DE602A">
            <w:pPr>
              <w:rPr>
                <w:rFonts w:ascii="Times New Roman" w:hAnsi="Times New Roman"/>
                <w:sz w:val="24"/>
              </w:rPr>
            </w:pPr>
            <w:r w:rsidRPr="00E80691">
              <w:rPr>
                <w:rFonts w:ascii="Times New Roman" w:hAnsi="Times New Roman"/>
                <w:sz w:val="24"/>
              </w:rPr>
              <w:t>Office number:</w:t>
            </w:r>
            <w:r w:rsidR="00E80691">
              <w:rPr>
                <w:rFonts w:ascii="Times New Roman" w:hAnsi="Times New Roman"/>
                <w:sz w:val="24"/>
              </w:rPr>
              <w:t>107</w:t>
            </w:r>
          </w:p>
          <w:p w:rsidR="003E75D7" w:rsidRPr="00E80691" w:rsidRDefault="003E75D7" w:rsidP="00DE602A">
            <w:pPr>
              <w:rPr>
                <w:rFonts w:ascii="Times New Roman" w:hAnsi="Times New Roman"/>
                <w:sz w:val="24"/>
              </w:rPr>
            </w:pPr>
            <w:r w:rsidRPr="00E80691">
              <w:rPr>
                <w:rFonts w:ascii="Times New Roman" w:hAnsi="Times New Roman"/>
                <w:sz w:val="24"/>
              </w:rPr>
              <w:t>Phone number:</w:t>
            </w:r>
            <w:r w:rsidR="00E80691">
              <w:rPr>
                <w:rFonts w:ascii="Times New Roman" w:hAnsi="Times New Roman"/>
                <w:sz w:val="24"/>
              </w:rPr>
              <w:t xml:space="preserve">06 5355000 - </w:t>
            </w:r>
            <w:r w:rsidR="00E80691">
              <w:rPr>
                <w:i/>
                <w:iCs/>
              </w:rPr>
              <w:t>23343</w:t>
            </w:r>
          </w:p>
          <w:p w:rsidR="003E75D7" w:rsidRPr="00E80691" w:rsidRDefault="003E75D7" w:rsidP="00DE602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80691">
              <w:rPr>
                <w:rFonts w:ascii="Times New Roman" w:hAnsi="Times New Roman"/>
                <w:sz w:val="24"/>
              </w:rPr>
              <w:t>Email:</w:t>
            </w:r>
            <w:r w:rsidR="00E80691">
              <w:rPr>
                <w:rFonts w:ascii="Times New Roman" w:hAnsi="Times New Roman"/>
                <w:sz w:val="24"/>
              </w:rPr>
              <w:t>r.tarawneh@ju.edu.jo</w:t>
            </w:r>
            <w:proofErr w:type="spellEnd"/>
          </w:p>
          <w:p w:rsidR="004D364A" w:rsidRPr="00E80691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35DC2">
              <w:rPr>
                <w:rFonts w:ascii="Times New Roman" w:hAnsi="Times New Roman"/>
                <w:sz w:val="24"/>
              </w:rPr>
              <w:t xml:space="preserve"> Dr. </w:t>
            </w:r>
            <w:proofErr w:type="spellStart"/>
            <w:r w:rsidR="00435DC2">
              <w:rPr>
                <w:rFonts w:ascii="Times New Roman" w:hAnsi="Times New Roman"/>
                <w:sz w:val="24"/>
              </w:rPr>
              <w:t>Imad</w:t>
            </w:r>
            <w:proofErr w:type="spellEnd"/>
            <w:r w:rsidR="00435D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35DC2">
              <w:rPr>
                <w:rFonts w:ascii="Times New Roman" w:hAnsi="Times New Roman"/>
                <w:sz w:val="24"/>
              </w:rPr>
              <w:t>Hamdan</w:t>
            </w:r>
            <w:proofErr w:type="spellEnd"/>
            <w:r w:rsidR="00435DC2">
              <w:rPr>
                <w:rFonts w:ascii="Times New Roman" w:hAnsi="Times New Roman"/>
                <w:sz w:val="24"/>
              </w:rPr>
              <w:t xml:space="preserve"> 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35DC2">
              <w:rPr>
                <w:rFonts w:ascii="Times New Roman" w:hAnsi="Times New Roman"/>
                <w:sz w:val="24"/>
              </w:rPr>
              <w:t xml:space="preserve"> 107 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435DC2">
              <w:rPr>
                <w:rFonts w:ascii="Times New Roman" w:hAnsi="Times New Roman"/>
                <w:sz w:val="24"/>
              </w:rPr>
              <w:t xml:space="preserve"> </w:t>
            </w:r>
            <w:r w:rsidR="00435DC2">
              <w:rPr>
                <w:rFonts w:ascii="Times New Roman" w:hAnsi="Times New Roman"/>
                <w:sz w:val="24"/>
              </w:rPr>
              <w:t xml:space="preserve">06 5355000 - </w:t>
            </w:r>
            <w:r w:rsidR="00435DC2">
              <w:rPr>
                <w:rFonts w:ascii="Times New Roman" w:hAnsi="Times New Roman"/>
                <w:sz w:val="24"/>
              </w:rPr>
              <w:t>23302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435DC2">
              <w:rPr>
                <w:rFonts w:ascii="Times New Roman" w:hAnsi="Times New Roman"/>
                <w:sz w:val="24"/>
              </w:rPr>
              <w:t xml:space="preserve"> I.hamdan@ju.edu.jo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35DC2">
              <w:rPr>
                <w:rFonts w:ascii="Times New Roman" w:hAnsi="Times New Roman"/>
                <w:sz w:val="24"/>
              </w:rPr>
              <w:t xml:space="preserve"> Dr. Mohammad </w:t>
            </w:r>
            <w:proofErr w:type="spellStart"/>
            <w:r w:rsidR="00435DC2">
              <w:rPr>
                <w:rFonts w:ascii="Times New Roman" w:hAnsi="Times New Roman"/>
                <w:sz w:val="24"/>
              </w:rPr>
              <w:t>Zweiri</w:t>
            </w:r>
            <w:proofErr w:type="spellEnd"/>
            <w:r w:rsidR="00435DC2">
              <w:rPr>
                <w:rFonts w:ascii="Times New Roman" w:hAnsi="Times New Roman"/>
                <w:sz w:val="24"/>
              </w:rPr>
              <w:t xml:space="preserve"> 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:rsidR="003E75D7" w:rsidRPr="0003236B" w:rsidRDefault="003E75D7" w:rsidP="00435DC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435DC2">
              <w:rPr>
                <w:rFonts w:ascii="Times New Roman" w:hAnsi="Times New Roman"/>
                <w:sz w:val="24"/>
              </w:rPr>
              <w:t xml:space="preserve"> </w:t>
            </w:r>
            <w:r w:rsidR="00435DC2">
              <w:rPr>
                <w:rFonts w:ascii="Times New Roman" w:hAnsi="Times New Roman"/>
                <w:sz w:val="24"/>
              </w:rPr>
              <w:t>06 5355000 - 233</w:t>
            </w:r>
            <w:r w:rsidR="00435DC2">
              <w:rPr>
                <w:rFonts w:ascii="Times New Roman" w:hAnsi="Times New Roman"/>
                <w:sz w:val="24"/>
              </w:rPr>
              <w:t>65</w:t>
            </w:r>
          </w:p>
          <w:p w:rsidR="004D364A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435DC2">
              <w:rPr>
                <w:rFonts w:ascii="Times New Roman" w:hAnsi="Times New Roman"/>
                <w:sz w:val="24"/>
              </w:rPr>
              <w:t>m.Alzweiri@ju.edu.jo</w:t>
            </w:r>
            <w:bookmarkStart w:id="0" w:name="_GoBack"/>
            <w:bookmarkEnd w:id="0"/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DE602A" w:rsidRPr="0003236B" w:rsidRDefault="001A199A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:rsidTr="003E75D7">
        <w:trPr>
          <w:trHeight w:val="2123"/>
        </w:trPr>
        <w:tc>
          <w:tcPr>
            <w:tcW w:w="9990" w:type="dxa"/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E80691" w:rsidRDefault="00E80691" w:rsidP="00E8069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course describes some basic principles and analysis, with emphasis on titrimetric analysis, tools and methods. Students are required to learn how to experimentally conduct titrations as a method to calculate the amount and concentration of the target unknown.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DE602A" w:rsidRPr="0003236B" w:rsidRDefault="001A199A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Aims: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E80691" w:rsidRPr="000111BA" w:rsidRDefault="00E80691" w:rsidP="00E80691">
            <w:pPr>
              <w:pStyle w:val="ps1Char"/>
            </w:pPr>
            <w:r w:rsidRPr="000111BA">
              <w:t xml:space="preserve">At the end of this course the student is expected: </w:t>
            </w:r>
          </w:p>
          <w:p w:rsidR="00E80691" w:rsidRPr="000111BA" w:rsidRDefault="00E80691" w:rsidP="00E80691">
            <w:pPr>
              <w:pStyle w:val="ps1Char"/>
            </w:pPr>
            <w:r w:rsidRPr="000111BA">
              <w:t>Acquire basic practical skills and knowledge regarding the importance of analysis in pharmaceutical industry, the proper use of pharmacopoeia, the principles of chemical equilibrium and its relation to pharmaceutical analysis</w:t>
            </w:r>
            <w:r>
              <w:t>, understand and prepare a buffer system</w:t>
            </w:r>
            <w:r w:rsidRPr="000111BA">
              <w:t xml:space="preserve"> and the concept of </w:t>
            </w:r>
            <w:proofErr w:type="spellStart"/>
            <w:r w:rsidRPr="000111BA">
              <w:t>titremetric</w:t>
            </w:r>
            <w:proofErr w:type="spellEnd"/>
            <w:r w:rsidRPr="000111BA">
              <w:t xml:space="preserve"> analytical methods and how to employ them in real life problems pertaining the following types of reactions:</w:t>
            </w:r>
          </w:p>
          <w:p w:rsidR="00E80691" w:rsidRPr="000111BA" w:rsidRDefault="00E80691" w:rsidP="00E80691">
            <w:pPr>
              <w:pStyle w:val="ps1Char"/>
            </w:pPr>
            <w:r w:rsidRPr="000111BA">
              <w:t>Acid -base</w:t>
            </w:r>
          </w:p>
          <w:p w:rsidR="00E80691" w:rsidRPr="000111BA" w:rsidRDefault="00E80691" w:rsidP="00E80691">
            <w:pPr>
              <w:pStyle w:val="ps1Char"/>
            </w:pPr>
            <w:r w:rsidRPr="000111BA">
              <w:t xml:space="preserve">Precipitation </w:t>
            </w:r>
          </w:p>
          <w:p w:rsidR="00E80691" w:rsidRPr="000111BA" w:rsidRDefault="00E80691" w:rsidP="00E80691">
            <w:pPr>
              <w:pStyle w:val="ps1Char"/>
            </w:pPr>
            <w:proofErr w:type="spellStart"/>
            <w:r w:rsidRPr="000111BA">
              <w:t>Complexation</w:t>
            </w:r>
            <w:proofErr w:type="spellEnd"/>
          </w:p>
          <w:p w:rsidR="00E80691" w:rsidRPr="000111BA" w:rsidRDefault="00E80691" w:rsidP="00E80691">
            <w:pPr>
              <w:pStyle w:val="ps1Char"/>
            </w:pPr>
            <w:r w:rsidRPr="000111BA">
              <w:t>Oxidation –reduction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Intended Learning Outcomes (ILOs): 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Default="00E80691" w:rsidP="00E80691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 </w:t>
            </w:r>
            <w:r w:rsidRPr="000D5EDC">
              <w:t xml:space="preserve">the fundamentals of acid-base and </w:t>
            </w:r>
            <w:proofErr w:type="spellStart"/>
            <w:r w:rsidRPr="000D5EDC">
              <w:t>precipitimetric</w:t>
            </w:r>
            <w:proofErr w:type="spellEnd"/>
            <w:r w:rsidRPr="000D5EDC">
              <w:t xml:space="preserve"> titrations as well as the gravimetric analysis and calculation of the basic statistical parameters, and explain the application of these principles in the analysis of drug substances</w:t>
            </w:r>
            <w:r>
              <w:t xml:space="preserve"> and understands the concept of buffer systems</w:t>
            </w:r>
            <w:r w:rsidRPr="000D5EDC">
              <w:t>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t xml:space="preserve">Understand </w:t>
            </w:r>
            <w:r w:rsidRPr="000D5EDC">
              <w:t>the suitable method</w:t>
            </w:r>
            <w:r>
              <w:t>s</w:t>
            </w:r>
            <w:r w:rsidRPr="000D5EDC">
              <w:t xml:space="preserve"> for analysis of certain substances depending on basic understanding of </w:t>
            </w:r>
            <w:proofErr w:type="spellStart"/>
            <w:r w:rsidRPr="000D5EDC">
              <w:t>physico</w:t>
            </w:r>
            <w:proofErr w:type="spellEnd"/>
            <w:r w:rsidRPr="000D5EDC">
              <w:t>-chemical properties of the chemical compounds.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t>Understands</w:t>
            </w:r>
            <w:r w:rsidRPr="000D5EDC">
              <w:t xml:space="preserve"> and interpret the possible interactions or interferences of some chemical compounds with the selected method of analysis of certain compounds depending on the studied principles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t>Understands</w:t>
            </w:r>
            <w:r w:rsidRPr="000D5EDC">
              <w:t xml:space="preserve"> different analytical procedures for the evaluation of different drugs and for quality control of pharmaceutical preparations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5EDC">
              <w:t>Demonstrate knowledge and critical understanding of essential facts, concepts, principles and theories related to the subject areas identified under knowledge and understanding.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proofErr w:type="gramStart"/>
            <w:r>
              <w:t xml:space="preserve">Demonstrates </w:t>
            </w:r>
            <w:r w:rsidRPr="000D5EDC">
              <w:t xml:space="preserve"> in</w:t>
            </w:r>
            <w:proofErr w:type="gramEnd"/>
            <w:r w:rsidRPr="000D5EDC">
              <w:t xml:space="preserve"> practice setting the knowledge and understanding required to meet the needs of patients and other health care professional.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5EDC">
              <w:t>Differentiate between different groups of drugs.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5EDC">
              <w:t xml:space="preserve">Apply </w:t>
            </w:r>
            <w:r>
              <w:t>some</w:t>
            </w:r>
            <w:r w:rsidRPr="000D5EDC">
              <w:t xml:space="preserve"> technology skills, such as word processing and internet communication and online searches.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t>Demonstrates respect to the instructor and classmates and w</w:t>
            </w:r>
            <w:r w:rsidRPr="000D5EDC">
              <w:t xml:space="preserve">ork effectively with the others as a team </w:t>
            </w:r>
            <w:r>
              <w:t xml:space="preserve">during </w:t>
            </w:r>
            <w:r w:rsidRPr="000D5EDC">
              <w:t xml:space="preserve">work </w:t>
            </w:r>
            <w:r>
              <w:t xml:space="preserve">and while </w:t>
            </w:r>
            <w:r w:rsidRPr="000D5EDC">
              <w:t>performing the report on the results of an analytical method.</w:t>
            </w:r>
          </w:p>
          <w:p w:rsidR="00E80691" w:rsidRPr="00E80691" w:rsidRDefault="00E80691" w:rsidP="00E80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t xml:space="preserve">Demonstrates time management </w:t>
            </w:r>
            <w:r w:rsidRPr="000D5EDC">
              <w:t>in an analytical work effectively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1A199A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03236B" w:rsidTr="00F93F1F">
        <w:trPr>
          <w:trHeight w:val="1506"/>
        </w:trPr>
        <w:tc>
          <w:tcPr>
            <w:tcW w:w="10016" w:type="dxa"/>
          </w:tcPr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1584"/>
              <w:gridCol w:w="1584"/>
              <w:gridCol w:w="1584"/>
              <w:gridCol w:w="1584"/>
              <w:gridCol w:w="1584"/>
            </w:tblGrid>
            <w:tr w:rsidR="00D92F11" w:rsidTr="00D933C6">
              <w:trPr>
                <w:trHeight w:val="517"/>
              </w:trPr>
              <w:tc>
                <w:tcPr>
                  <w:tcW w:w="1584" w:type="dxa"/>
                  <w:shd w:val="clear" w:color="auto" w:fill="auto"/>
                  <w:vAlign w:val="center"/>
                </w:tcPr>
                <w:p w:rsidR="00D92F11" w:rsidRPr="00F57F5A" w:rsidRDefault="00D92F11" w:rsidP="00D933C6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sz w:val="22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Topic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D92F11" w:rsidRPr="00F57F5A" w:rsidRDefault="00D92F11" w:rsidP="00D933C6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sz w:val="22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Week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D92F11" w:rsidRPr="00F57F5A" w:rsidRDefault="00D92F11" w:rsidP="00D933C6">
                  <w:pPr>
                    <w:tabs>
                      <w:tab w:val="right" w:pos="6840"/>
                    </w:tabs>
                    <w:jc w:val="center"/>
                    <w:rPr>
                      <w:rFonts w:ascii="Cambria" w:hAnsi="Cambria"/>
                      <w:color w:val="000000"/>
                      <w:sz w:val="22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Instructor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D92F11" w:rsidRPr="00F57F5A" w:rsidRDefault="00D92F11" w:rsidP="00D933C6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sz w:val="22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Achieved ILOs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D92F11" w:rsidRPr="00F57F5A" w:rsidRDefault="00D92F11" w:rsidP="00D933C6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sz w:val="22"/>
                      <w:lang w:bidi="ar-JO"/>
                    </w:rPr>
                  </w:pPr>
                  <w:r w:rsidRPr="00F57F5A">
                    <w:rPr>
                      <w:rFonts w:ascii="Cambria" w:hAnsi="Cambria"/>
                      <w:sz w:val="22"/>
                      <w:szCs w:val="22"/>
                      <w:lang w:bidi="ar-JO"/>
                    </w:rPr>
                    <w:t>Evaluation</w:t>
                  </w: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 xml:space="preserve"> Methods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D92F11" w:rsidRPr="00F57F5A" w:rsidRDefault="00D92F11" w:rsidP="00D933C6">
                  <w:pPr>
                    <w:tabs>
                      <w:tab w:val="right" w:pos="6840"/>
                    </w:tabs>
                    <w:rPr>
                      <w:rFonts w:ascii="Cambria" w:hAnsi="Cambria"/>
                      <w:color w:val="000000"/>
                      <w:sz w:val="22"/>
                      <w:lang w:bidi="ar-JO"/>
                    </w:rPr>
                  </w:pPr>
                  <w:r w:rsidRPr="00F57F5A">
                    <w:rPr>
                      <w:rFonts w:ascii="Cambria" w:hAnsi="Cambria"/>
                      <w:color w:val="000000"/>
                      <w:sz w:val="22"/>
                      <w:szCs w:val="22"/>
                      <w:lang w:bidi="ar-JO"/>
                    </w:rPr>
                    <w:t>Reference</w:t>
                  </w:r>
                </w:p>
              </w:tc>
            </w:tr>
            <w:tr w:rsidR="00D92F11" w:rsidTr="00D933C6">
              <w:trPr>
                <w:trHeight w:val="228"/>
              </w:trPr>
              <w:tc>
                <w:tcPr>
                  <w:tcW w:w="1584" w:type="dxa"/>
                  <w:shd w:val="clear" w:color="auto" w:fill="auto"/>
                </w:tcPr>
                <w:p w:rsidR="00D92F11" w:rsidRPr="001C586C" w:rsidRDefault="00D92F11" w:rsidP="00D933C6">
                  <w:r w:rsidRPr="001C586C">
                    <w:t>Orientation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 xml:space="preserve">1 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1-2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blended learning related assignments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Pr="003F616A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 xml:space="preserve">Analytical chemistry: An introduction (Saunders Golden Sunburst </w:t>
                  </w:r>
                  <w:proofErr w:type="spellStart"/>
                  <w:r w:rsidRPr="003F616A">
                    <w:t>eries</w:t>
                  </w:r>
                  <w:proofErr w:type="spellEnd"/>
                  <w:r w:rsidRPr="003F616A">
                    <w:t>)</w:t>
                  </w:r>
                </w:p>
                <w:p w:rsidR="00D92F11" w:rsidRPr="003F616A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 xml:space="preserve">Author: Donald west, F. James Holler, Douglas A. </w:t>
                  </w:r>
                  <w:proofErr w:type="spellStart"/>
                  <w:proofErr w:type="gramStart"/>
                  <w:r w:rsidRPr="003F616A">
                    <w:t>Skoog</w:t>
                  </w:r>
                  <w:proofErr w:type="spellEnd"/>
                  <w:r w:rsidRPr="003F616A">
                    <w:t xml:space="preserve"> ,</w:t>
                  </w:r>
                  <w:proofErr w:type="gramEnd"/>
                  <w:r w:rsidRPr="003F616A">
                    <w:t xml:space="preserve"> 1997.</w:t>
                  </w: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Pr="001C586C" w:rsidRDefault="00D92F11" w:rsidP="00D933C6">
                  <w:r w:rsidRPr="003F616A">
                    <w:t>Laboratory Measurements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2,3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1,3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28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>Standardization methods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2,3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4-7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28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>Neutralization Capacity of antacid Tablets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4,5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4-7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 xml:space="preserve">Determination of </w:t>
                  </w:r>
                  <w:r>
                    <w:t xml:space="preserve">benzoic acid as raw material + </w:t>
                  </w:r>
                  <w:r w:rsidRPr="003F616A">
                    <w:t>Application of Non-aqueous titration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4,5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4-7</w:t>
                  </w: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+</w:t>
                  </w: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1, 3, 8-10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28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>Midterm Exam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6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proofErr w:type="spellStart"/>
                  <w:r w:rsidRPr="003F616A">
                    <w:t>Argentometric</w:t>
                  </w:r>
                  <w:proofErr w:type="spellEnd"/>
                  <w:r w:rsidRPr="003F616A">
                    <w:t xml:space="preserve"> Titrations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7,8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1, 3, 8-10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proofErr w:type="spellStart"/>
                  <w:r w:rsidRPr="003F616A">
                    <w:lastRenderedPageBreak/>
                    <w:t>Compleximetric</w:t>
                  </w:r>
                  <w:proofErr w:type="spellEnd"/>
                  <w:r w:rsidRPr="003F616A">
                    <w:t xml:space="preserve"> Titrations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7,8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1, 3, 8-10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3F616A">
                    <w:t>Oxidation-reduction titrations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9,10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1, 3, 8-10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Buffers and buffer capacity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9,10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1, 3, 8-10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Reports, evaluation, and quizzes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243"/>
              </w:trPr>
              <w:tc>
                <w:tcPr>
                  <w:tcW w:w="1584" w:type="dxa"/>
                  <w:shd w:val="clear" w:color="auto" w:fill="auto"/>
                </w:tcPr>
                <w:p w:rsidR="00D92F11" w:rsidRPr="003F616A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Final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11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Ruba Tarawneh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t>Reports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  <w:tr w:rsidR="00D92F11" w:rsidTr="00D933C6">
              <w:trPr>
                <w:trHeight w:val="611"/>
              </w:trPr>
              <w:tc>
                <w:tcPr>
                  <w:tcW w:w="1584" w:type="dxa"/>
                  <w:shd w:val="clear" w:color="auto" w:fill="auto"/>
                </w:tcPr>
                <w:p w:rsidR="00D92F11" w:rsidRPr="003F616A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D92F11" w:rsidRDefault="00D92F11" w:rsidP="00D933C6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Default="0006104C" w:rsidP="00D92F1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Teaching methods include: </w:t>
      </w:r>
      <w:r w:rsidR="00D92F11">
        <w:rPr>
          <w:rFonts w:ascii="Times New Roman" w:hAnsi="Times New Roman"/>
          <w:sz w:val="24"/>
        </w:rPr>
        <w:t>In School Lab , blended learning, lab experiments</w:t>
      </w:r>
    </w:p>
    <w:p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</w:t>
      </w:r>
      <w:r w:rsidR="00D92F11">
        <w:rPr>
          <w:rFonts w:ascii="Times New Roman" w:hAnsi="Times New Roman"/>
          <w:sz w:val="24"/>
        </w:rPr>
        <w:t>uation methods include: Evaluation</w:t>
      </w:r>
      <w:r>
        <w:rPr>
          <w:rFonts w:ascii="Times New Roman" w:hAnsi="Times New Roman"/>
          <w:sz w:val="24"/>
        </w:rPr>
        <w:t xml:space="preserve">, Quiz, </w:t>
      </w:r>
      <w:r w:rsidR="00D92F11">
        <w:rPr>
          <w:rFonts w:ascii="Times New Roman" w:hAnsi="Times New Roman"/>
          <w:sz w:val="24"/>
        </w:rPr>
        <w:t xml:space="preserve"> </w:t>
      </w:r>
      <w:proofErr w:type="spellStart"/>
      <w:r w:rsidR="00D92F11">
        <w:rPr>
          <w:rFonts w:ascii="Times New Roman" w:hAnsi="Times New Roman"/>
          <w:sz w:val="24"/>
        </w:rPr>
        <w:t>Mid term</w:t>
      </w:r>
      <w:proofErr w:type="spellEnd"/>
      <w:r w:rsidR="00D92F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Exam, pre-lab quiz…</w:t>
      </w:r>
      <w:proofErr w:type="spellStart"/>
      <w:r>
        <w:rPr>
          <w:rFonts w:ascii="Times New Roman" w:hAnsi="Times New Roman"/>
          <w:sz w:val="24"/>
        </w:rPr>
        <w:t>etc</w:t>
      </w:r>
      <w:proofErr w:type="spellEnd"/>
    </w:p>
    <w:p w:rsidR="00DE602A" w:rsidRPr="00D769C1" w:rsidRDefault="00DE602A" w:rsidP="00DE602A">
      <w:pPr>
        <w:rPr>
          <w:rFonts w:ascii="Times New Roman" w:hAnsi="Times New Roman"/>
          <w:sz w:val="22"/>
          <w:szCs w:val="22"/>
        </w:rPr>
      </w:pPr>
    </w:p>
    <w:p w:rsidR="004D364A" w:rsidRPr="0003236B" w:rsidRDefault="001A199A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23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:rsidTr="00F93F1F">
        <w:tc>
          <w:tcPr>
            <w:tcW w:w="10008" w:type="dxa"/>
          </w:tcPr>
          <w:p w:rsidR="004D364A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2126"/>
              <w:gridCol w:w="3261"/>
            </w:tblGrid>
            <w:tr w:rsidR="00D92F11" w:rsidRPr="009729F7" w:rsidTr="00D933C6">
              <w:trPr>
                <w:trHeight w:val="305"/>
              </w:trPr>
              <w:tc>
                <w:tcPr>
                  <w:tcW w:w="3652" w:type="dxa"/>
                  <w:shd w:val="clear" w:color="auto" w:fill="FFFFFF"/>
                </w:tcPr>
                <w:p w:rsidR="00D92F11" w:rsidRPr="00544EE2" w:rsidRDefault="00D92F11" w:rsidP="00D933C6">
                  <w:pPr>
                    <w:jc w:val="center"/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Evaluation</w:t>
                  </w:r>
                </w:p>
                <w:p w:rsidR="00D92F11" w:rsidRPr="00544EE2" w:rsidRDefault="00D92F11" w:rsidP="00D933C6">
                  <w:pPr>
                    <w:jc w:val="center"/>
                    <w:rPr>
                      <w:rFonts w:asciiTheme="majorHAnsi" w:hAnsiTheme="majorHAnsi"/>
                      <w:szCs w:val="20"/>
                      <w:lang w:bidi="ar-JO"/>
                    </w:rPr>
                  </w:pPr>
                </w:p>
              </w:tc>
              <w:tc>
                <w:tcPr>
                  <w:tcW w:w="2126" w:type="dxa"/>
                  <w:shd w:val="clear" w:color="auto" w:fill="FFFFFF"/>
                </w:tcPr>
                <w:p w:rsidR="00D92F11" w:rsidRPr="00544EE2" w:rsidRDefault="00D92F11" w:rsidP="00D933C6">
                  <w:pPr>
                    <w:jc w:val="center"/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Point %</w:t>
                  </w:r>
                </w:p>
                <w:p w:rsidR="00D92F11" w:rsidRPr="00544EE2" w:rsidRDefault="00D92F11" w:rsidP="00D933C6">
                  <w:pPr>
                    <w:jc w:val="center"/>
                    <w:rPr>
                      <w:rFonts w:asciiTheme="majorHAnsi" w:hAnsiTheme="majorHAnsi"/>
                      <w:szCs w:val="20"/>
                      <w:lang w:bidi="ar-JO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</w:tcPr>
                <w:p w:rsidR="00D92F11" w:rsidRPr="00544EE2" w:rsidRDefault="00D92F11" w:rsidP="00D933C6">
                  <w:pPr>
                    <w:jc w:val="center"/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Date</w:t>
                  </w:r>
                </w:p>
                <w:p w:rsidR="00D92F11" w:rsidRPr="00544EE2" w:rsidRDefault="00D92F11" w:rsidP="00D933C6">
                  <w:pPr>
                    <w:jc w:val="center"/>
                    <w:rPr>
                      <w:rFonts w:asciiTheme="majorHAnsi" w:hAnsiTheme="majorHAnsi"/>
                      <w:szCs w:val="20"/>
                      <w:lang w:bidi="ar-JO"/>
                    </w:rPr>
                  </w:pPr>
                </w:p>
              </w:tc>
            </w:tr>
            <w:tr w:rsidR="00D92F11" w:rsidRPr="009729F7" w:rsidTr="00D933C6">
              <w:tc>
                <w:tcPr>
                  <w:tcW w:w="3652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Reports</w:t>
                  </w:r>
                </w:p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</w:p>
              </w:tc>
              <w:tc>
                <w:tcPr>
                  <w:tcW w:w="2126" w:type="dxa"/>
                </w:tcPr>
                <w:p w:rsidR="00D92F11" w:rsidRPr="00544EE2" w:rsidRDefault="00E15406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For every week</w:t>
                  </w:r>
                </w:p>
              </w:tc>
            </w:tr>
            <w:tr w:rsidR="00D92F11" w:rsidRPr="009729F7" w:rsidTr="00D933C6">
              <w:tc>
                <w:tcPr>
                  <w:tcW w:w="3652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Quizzes</w:t>
                  </w:r>
                </w:p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</w:p>
              </w:tc>
              <w:tc>
                <w:tcPr>
                  <w:tcW w:w="2126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Predetermined quizzes</w:t>
                  </w:r>
                </w:p>
              </w:tc>
            </w:tr>
            <w:tr w:rsidR="00D92F11" w:rsidRPr="009729F7" w:rsidTr="00D933C6">
              <w:trPr>
                <w:trHeight w:val="170"/>
              </w:trPr>
              <w:tc>
                <w:tcPr>
                  <w:tcW w:w="3652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Evaluation based on practical work</w:t>
                  </w:r>
                </w:p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>
                    <w:rPr>
                      <w:rFonts w:asciiTheme="majorHAnsi" w:hAnsiTheme="majorHAnsi"/>
                      <w:szCs w:val="20"/>
                      <w:lang w:bidi="ar-JO"/>
                    </w:rPr>
                    <w:t xml:space="preserve">Blended Learning related activities </w:t>
                  </w:r>
                </w:p>
              </w:tc>
              <w:tc>
                <w:tcPr>
                  <w:tcW w:w="2126" w:type="dxa"/>
                </w:tcPr>
                <w:p w:rsidR="00D92F11" w:rsidRDefault="00E15406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5</w:t>
                  </w:r>
                </w:p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D92F11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</w:p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proofErr w:type="spellStart"/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Prelab</w:t>
                  </w:r>
                  <w:proofErr w:type="spellEnd"/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 xml:space="preserve"> quizzes and assignments</w:t>
                  </w:r>
                </w:p>
              </w:tc>
            </w:tr>
            <w:tr w:rsidR="00D92F11" w:rsidRPr="009729F7" w:rsidTr="00D933C6">
              <w:tc>
                <w:tcPr>
                  <w:tcW w:w="3652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Midterm Exam</w:t>
                  </w:r>
                </w:p>
              </w:tc>
              <w:tc>
                <w:tcPr>
                  <w:tcW w:w="2126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30</w:t>
                  </w:r>
                </w:p>
              </w:tc>
              <w:tc>
                <w:tcPr>
                  <w:tcW w:w="3261" w:type="dxa"/>
                </w:tcPr>
                <w:p w:rsidR="00D92F11" w:rsidRPr="00AA14DE" w:rsidRDefault="00AA14DE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 w:rsidRPr="00AA14DE">
                    <w:rPr>
                      <w:rFonts w:asciiTheme="majorHAnsi" w:hAnsiTheme="majorHAnsi" w:cs="Arial"/>
                      <w:color w:val="000000"/>
                      <w:u w:val="single"/>
                    </w:rPr>
                    <w:t>14-18/11/2021</w:t>
                  </w:r>
                </w:p>
              </w:tc>
            </w:tr>
            <w:tr w:rsidR="00D92F11" w:rsidRPr="009729F7" w:rsidTr="00D933C6">
              <w:tc>
                <w:tcPr>
                  <w:tcW w:w="3652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lang w:bidi="ar-JO"/>
                    </w:rPr>
                    <w:t>Final Exam</w:t>
                  </w:r>
                </w:p>
              </w:tc>
              <w:tc>
                <w:tcPr>
                  <w:tcW w:w="2126" w:type="dxa"/>
                </w:tcPr>
                <w:p w:rsidR="00D92F11" w:rsidRPr="00544EE2" w:rsidRDefault="00D92F11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 w:rsidRPr="00544EE2"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40</w:t>
                  </w:r>
                </w:p>
              </w:tc>
              <w:tc>
                <w:tcPr>
                  <w:tcW w:w="3261" w:type="dxa"/>
                </w:tcPr>
                <w:p w:rsidR="00D92F11" w:rsidRPr="00544EE2" w:rsidRDefault="00042425" w:rsidP="00D933C6">
                  <w:pP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</w:pPr>
                  <w:r>
                    <w:rPr>
                      <w:rFonts w:asciiTheme="majorHAnsi" w:hAnsiTheme="majorHAnsi"/>
                      <w:szCs w:val="20"/>
                      <w:u w:val="single"/>
                      <w:lang w:bidi="ar-JO"/>
                    </w:rPr>
                    <w:t>26-30/12/2021</w:t>
                  </w:r>
                </w:p>
              </w:tc>
            </w:tr>
          </w:tbl>
          <w:p w:rsidR="00D92F11" w:rsidRPr="0003236B" w:rsidRDefault="00D92F11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CE3E14" w:rsidRPr="0003236B" w:rsidRDefault="001A199A" w:rsidP="00CE3E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24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 Requirements</w:t>
      </w:r>
      <w:r w:rsidR="00310FB2"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 w:rsidR="00310FB2">
        <w:rPr>
          <w:rFonts w:ascii="Times New Roman" w:hAnsi="Times New Roman"/>
          <w:b/>
          <w:bCs/>
          <w:sz w:val="24"/>
        </w:rPr>
        <w:t>e.g</w:t>
      </w:r>
      <w:proofErr w:type="spellEnd"/>
      <w:r w:rsidR="00310FB2">
        <w:rPr>
          <w:rFonts w:ascii="Times New Roman" w:hAnsi="Times New Roman"/>
          <w:b/>
          <w:bCs/>
          <w:sz w:val="24"/>
        </w:rPr>
        <w:t xml:space="preserve">: students should have a computer, internet connection, webcam, </w:t>
      </w:r>
      <w:proofErr w:type="gramStart"/>
      <w:r w:rsidR="00310FB2">
        <w:rPr>
          <w:rFonts w:ascii="Times New Roman" w:hAnsi="Times New Roman"/>
          <w:b/>
          <w:bCs/>
          <w:sz w:val="24"/>
        </w:rPr>
        <w:t>account</w:t>
      </w:r>
      <w:proofErr w:type="gramEnd"/>
      <w:r w:rsidR="00310FB2">
        <w:rPr>
          <w:rFonts w:ascii="Times New Roman" w:hAnsi="Times New Roman"/>
          <w:b/>
          <w:bCs/>
          <w:sz w:val="24"/>
        </w:rPr>
        <w:t xml:space="preserve"> on a specific software/platform…</w:t>
      </w:r>
      <w:proofErr w:type="spellStart"/>
      <w:r w:rsidR="00310FB2">
        <w:rPr>
          <w:rFonts w:ascii="Times New Roman" w:hAnsi="Times New Roman"/>
          <w:b/>
          <w:bCs/>
          <w:sz w:val="24"/>
        </w:rPr>
        <w:t>etc</w:t>
      </w:r>
      <w:proofErr w:type="spellEnd"/>
      <w:r w:rsidR="00310FB2">
        <w:rPr>
          <w:rFonts w:ascii="Times New Roman" w:hAnsi="Times New Roman"/>
          <w:b/>
          <w:bCs/>
          <w:sz w:val="24"/>
        </w:rPr>
        <w:t>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:rsidTr="00E80691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CE3E14" w:rsidRPr="0003236B" w:rsidRDefault="00D92F11" w:rsidP="00D92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students should have a computer, internet connection, account on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moodle</w:t>
            </w:r>
            <w:proofErr w:type="spellEnd"/>
          </w:p>
          <w:p w:rsidR="00CE3E14" w:rsidRPr="0003236B" w:rsidRDefault="00CE3E14" w:rsidP="00E80691">
            <w:pPr>
              <w:rPr>
                <w:rFonts w:ascii="Times New Roman" w:hAnsi="Times New Roman"/>
                <w:sz w:val="24"/>
              </w:rPr>
            </w:pPr>
          </w:p>
          <w:p w:rsidR="00CE3E14" w:rsidRPr="0003236B" w:rsidRDefault="00CE3E14" w:rsidP="00E80691">
            <w:pPr>
              <w:rPr>
                <w:rFonts w:ascii="Times New Roman" w:hAnsi="Times New Roman"/>
                <w:sz w:val="24"/>
              </w:rPr>
            </w:pPr>
          </w:p>
          <w:p w:rsidR="00CE3E14" w:rsidRPr="0003236B" w:rsidRDefault="00CE3E14" w:rsidP="00E806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E3E14" w:rsidRPr="0003236B" w:rsidRDefault="00CE3E14" w:rsidP="00CE3E14">
      <w:pPr>
        <w:rPr>
          <w:rFonts w:ascii="Times New Roman" w:hAnsi="Times New Roman"/>
          <w:sz w:val="24"/>
        </w:rPr>
      </w:pPr>
    </w:p>
    <w:p w:rsidR="00CE3E14" w:rsidRPr="0003236B" w:rsidRDefault="00CE3E14" w:rsidP="00DE602A">
      <w:pPr>
        <w:rPr>
          <w:rFonts w:ascii="Times New Roman" w:hAnsi="Times New Roman"/>
          <w:sz w:val="24"/>
        </w:rPr>
      </w:pPr>
    </w:p>
    <w:p w:rsidR="004D364A" w:rsidRPr="0003236B" w:rsidRDefault="001A199A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25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:rsidTr="00F93F1F">
        <w:tc>
          <w:tcPr>
            <w:tcW w:w="10008" w:type="dxa"/>
          </w:tcPr>
          <w:p w:rsidR="0004076B" w:rsidRPr="008016F7" w:rsidRDefault="0004076B" w:rsidP="0004076B">
            <w:pPr>
              <w:spacing w:before="80"/>
              <w:rPr>
                <w:rFonts w:ascii="Cambria" w:hAnsi="Cambria" w:cs="Arial"/>
                <w:bCs/>
                <w:szCs w:val="20"/>
              </w:rPr>
            </w:pPr>
            <w:r w:rsidRPr="008016F7">
              <w:rPr>
                <w:rFonts w:ascii="Cambria" w:hAnsi="Cambria" w:cs="Arial"/>
                <w:bCs/>
                <w:szCs w:val="20"/>
              </w:rPr>
              <w:t>A- Attendance policies:</w:t>
            </w:r>
          </w:p>
          <w:p w:rsidR="0004076B" w:rsidRDefault="0004076B" w:rsidP="0004076B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>
              <w:rPr>
                <w:rFonts w:ascii="Cambria" w:hAnsi="Cambria" w:cs="Arial"/>
                <w:bCs/>
                <w:szCs w:val="20"/>
              </w:rPr>
              <w:t>Obligatory</w:t>
            </w:r>
          </w:p>
          <w:p w:rsidR="0004076B" w:rsidRPr="0039118C" w:rsidRDefault="0004076B" w:rsidP="0004076B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 w:rsidRPr="0039118C">
              <w:rPr>
                <w:rFonts w:ascii="Cambria" w:hAnsi="Cambria" w:cs="Arial"/>
                <w:bCs/>
                <w:szCs w:val="20"/>
              </w:rPr>
              <w:t xml:space="preserve">First warning – with </w:t>
            </w:r>
            <w:r>
              <w:rPr>
                <w:rFonts w:ascii="Cambria" w:hAnsi="Cambria" w:cs="Arial"/>
                <w:bCs/>
                <w:szCs w:val="20"/>
              </w:rPr>
              <w:t xml:space="preserve">1 </w:t>
            </w:r>
            <w:r w:rsidRPr="0039118C">
              <w:rPr>
                <w:rFonts w:ascii="Cambria" w:hAnsi="Cambria" w:cs="Arial"/>
                <w:bCs/>
                <w:szCs w:val="20"/>
              </w:rPr>
              <w:t>absences</w:t>
            </w:r>
          </w:p>
          <w:p w:rsidR="0004076B" w:rsidRPr="0039118C" w:rsidRDefault="0004076B" w:rsidP="0004076B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 w:rsidRPr="0039118C">
              <w:rPr>
                <w:rFonts w:ascii="Cambria" w:hAnsi="Cambria" w:cs="Arial"/>
                <w:bCs/>
                <w:szCs w:val="20"/>
              </w:rPr>
              <w:t xml:space="preserve">Last warning – with </w:t>
            </w:r>
            <w:r>
              <w:rPr>
                <w:rFonts w:ascii="Cambria" w:hAnsi="Cambria" w:cs="Arial"/>
                <w:bCs/>
                <w:szCs w:val="20"/>
              </w:rPr>
              <w:t>2 a</w:t>
            </w:r>
            <w:r w:rsidRPr="0039118C">
              <w:rPr>
                <w:rFonts w:ascii="Cambria" w:hAnsi="Cambria" w:cs="Arial"/>
                <w:bCs/>
                <w:szCs w:val="20"/>
              </w:rPr>
              <w:t>bsences</w:t>
            </w:r>
          </w:p>
          <w:p w:rsidR="0004076B" w:rsidRPr="008016F7" w:rsidRDefault="0004076B" w:rsidP="0004076B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 w:rsidRPr="0039118C">
              <w:rPr>
                <w:rFonts w:ascii="Cambria" w:hAnsi="Cambria" w:cs="Arial"/>
                <w:bCs/>
                <w:szCs w:val="20"/>
              </w:rPr>
              <w:t xml:space="preserve">Failing in the subject – with </w:t>
            </w:r>
            <w:r>
              <w:rPr>
                <w:rFonts w:ascii="Cambria" w:hAnsi="Cambria" w:cs="Arial"/>
                <w:bCs/>
                <w:szCs w:val="20"/>
              </w:rPr>
              <w:t>3</w:t>
            </w:r>
            <w:r w:rsidRPr="0039118C">
              <w:rPr>
                <w:rFonts w:ascii="Cambria" w:hAnsi="Cambria" w:cs="Arial"/>
                <w:bCs/>
                <w:szCs w:val="20"/>
              </w:rPr>
              <w:t xml:space="preserve"> absences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 w:rsidRPr="008016F7">
              <w:rPr>
                <w:rFonts w:ascii="Cambria" w:hAnsi="Cambria" w:cs="Arial"/>
                <w:bCs/>
                <w:szCs w:val="20"/>
              </w:rPr>
              <w:t xml:space="preserve">B-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Absences from</w:t>
            </w:r>
            <w:r>
              <w:rPr>
                <w:rStyle w:val="hps"/>
                <w:rFonts w:ascii="Cambria" w:hAnsi="Cambria"/>
                <w:bCs/>
                <w:szCs w:val="20"/>
              </w:rPr>
              <w:t xml:space="preserve">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exams and</w:t>
            </w:r>
            <w:r>
              <w:rPr>
                <w:rStyle w:val="hps"/>
                <w:rFonts w:ascii="Cambria" w:hAnsi="Cambria"/>
                <w:bCs/>
                <w:szCs w:val="20"/>
              </w:rPr>
              <w:t xml:space="preserve">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handing</w:t>
            </w:r>
            <w:r>
              <w:rPr>
                <w:rStyle w:val="hps"/>
                <w:rFonts w:ascii="Cambria" w:hAnsi="Cambria"/>
                <w:bCs/>
                <w:szCs w:val="20"/>
              </w:rPr>
              <w:t xml:space="preserve">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in</w:t>
            </w:r>
            <w:r>
              <w:rPr>
                <w:rStyle w:val="hps"/>
                <w:rFonts w:ascii="Cambria" w:hAnsi="Cambria"/>
                <w:bCs/>
                <w:szCs w:val="20"/>
              </w:rPr>
              <w:t xml:space="preserve">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assignments</w:t>
            </w:r>
            <w:r>
              <w:rPr>
                <w:rStyle w:val="hps"/>
                <w:rFonts w:ascii="Cambria" w:hAnsi="Cambria"/>
                <w:bCs/>
                <w:szCs w:val="20"/>
              </w:rPr>
              <w:t xml:space="preserve">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on time: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 xml:space="preserve">Make up exams only for official excuses. 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 w:rsidRPr="008016F7">
              <w:rPr>
                <w:rStyle w:val="hps"/>
                <w:rFonts w:ascii="Cambria" w:hAnsi="Cambria"/>
                <w:bCs/>
                <w:szCs w:val="20"/>
              </w:rPr>
              <w:t>C- Health and safety</w:t>
            </w:r>
            <w:r>
              <w:rPr>
                <w:rStyle w:val="hps"/>
                <w:rFonts w:ascii="Cambria" w:hAnsi="Cambria"/>
                <w:bCs/>
                <w:szCs w:val="20"/>
              </w:rPr>
              <w:t xml:space="preserve"> </w:t>
            </w:r>
            <w:r w:rsidRPr="008016F7">
              <w:rPr>
                <w:rStyle w:val="hps"/>
                <w:rFonts w:ascii="Cambria" w:hAnsi="Cambria"/>
                <w:bCs/>
                <w:szCs w:val="20"/>
              </w:rPr>
              <w:t>procedures:</w:t>
            </w:r>
          </w:p>
          <w:p w:rsidR="0004076B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>Should be followed.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>Described and discussed with students in the first week.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 w:rsidRPr="008016F7">
              <w:rPr>
                <w:rStyle w:val="hps"/>
                <w:rFonts w:ascii="Cambria" w:hAnsi="Cambria"/>
                <w:bCs/>
                <w:szCs w:val="20"/>
              </w:rPr>
              <w:t>D- Honesty policy regarding cheating, plagiarism, misbehavior:</w:t>
            </w:r>
          </w:p>
          <w:p w:rsidR="0004076B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>The participation , the commitment of cheating will lead to applying all following penalties together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5"/>
              </w:num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>Failing the subject he/she cheated at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5"/>
              </w:num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>Failing the other subjects taken in the same course</w:t>
            </w:r>
          </w:p>
          <w:p w:rsidR="0004076B" w:rsidRPr="00892D2F" w:rsidRDefault="0004076B" w:rsidP="0004076B">
            <w:pPr>
              <w:pStyle w:val="ListParagraph"/>
              <w:numPr>
                <w:ilvl w:val="0"/>
                <w:numId w:val="5"/>
              </w:num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 xml:space="preserve">Not allowed to register for the next semester. The summer semester is not considered as a semester 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 w:rsidRPr="008016F7">
              <w:rPr>
                <w:rStyle w:val="hps"/>
                <w:rFonts w:ascii="Cambria" w:hAnsi="Cambria"/>
                <w:bCs/>
                <w:szCs w:val="20"/>
              </w:rPr>
              <w:t>E- Grading policy:</w:t>
            </w:r>
          </w:p>
          <w:p w:rsidR="0004076B" w:rsidRPr="008016F7" w:rsidRDefault="0004076B" w:rsidP="0004076B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</w:rPr>
            </w:pPr>
            <w:r>
              <w:rPr>
                <w:rStyle w:val="hps"/>
                <w:rFonts w:ascii="Cambria" w:hAnsi="Cambria"/>
                <w:bCs/>
                <w:szCs w:val="20"/>
              </w:rPr>
              <w:t>See evaluation methods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1A199A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="004D364A"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04076B" w:rsidRDefault="0004076B" w:rsidP="0004076B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1) Lab. Manual</w:t>
            </w:r>
          </w:p>
          <w:p w:rsidR="0004076B" w:rsidRPr="00544EE2" w:rsidRDefault="0004076B" w:rsidP="0004076B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2) </w:t>
            </w:r>
            <w:r w:rsidRPr="00544EE2">
              <w:rPr>
                <w:rFonts w:ascii="Cambria" w:hAnsi="Cambria"/>
                <w:szCs w:val="20"/>
              </w:rPr>
              <w:t xml:space="preserve">Analytical chemistry: An introduction (Saunders Golden Sunburst </w:t>
            </w:r>
            <w:proofErr w:type="spellStart"/>
            <w:r w:rsidRPr="00544EE2">
              <w:rPr>
                <w:rFonts w:ascii="Cambria" w:hAnsi="Cambria"/>
                <w:szCs w:val="20"/>
              </w:rPr>
              <w:t>eries</w:t>
            </w:r>
            <w:proofErr w:type="spellEnd"/>
            <w:r w:rsidRPr="00544EE2">
              <w:rPr>
                <w:rFonts w:ascii="Cambria" w:hAnsi="Cambria"/>
                <w:szCs w:val="20"/>
              </w:rPr>
              <w:t>)</w:t>
            </w:r>
          </w:p>
          <w:p w:rsidR="0004076B" w:rsidRPr="005472E9" w:rsidRDefault="0004076B" w:rsidP="0004076B">
            <w:pPr>
              <w:rPr>
                <w:rFonts w:ascii="Cambria" w:hAnsi="Cambria"/>
                <w:szCs w:val="20"/>
              </w:rPr>
            </w:pPr>
            <w:r w:rsidRPr="00544EE2">
              <w:rPr>
                <w:rFonts w:ascii="Cambria" w:hAnsi="Cambria"/>
                <w:szCs w:val="20"/>
              </w:rPr>
              <w:t xml:space="preserve">Author: Donald west, F. James Holler, Douglas A. </w:t>
            </w:r>
            <w:proofErr w:type="spellStart"/>
            <w:r w:rsidRPr="00544EE2">
              <w:rPr>
                <w:rFonts w:ascii="Cambria" w:hAnsi="Cambria"/>
                <w:szCs w:val="20"/>
              </w:rPr>
              <w:t>Skoog</w:t>
            </w:r>
            <w:proofErr w:type="spellEnd"/>
            <w:r w:rsidRPr="00544EE2">
              <w:rPr>
                <w:rFonts w:ascii="Cambria" w:hAnsi="Cambria"/>
                <w:szCs w:val="20"/>
              </w:rPr>
              <w:t xml:space="preserve"> , 1997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="004D364A"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FA7DEA" w:rsidRPr="0003236B">
              <w:rPr>
                <w:rFonts w:ascii="Times New Roman" w:hAnsi="Times New Roman"/>
                <w:sz w:val="24"/>
              </w:rPr>
              <w:t>material</w:t>
            </w:r>
            <w:r w:rsidR="00FA7DEA">
              <w:rPr>
                <w:rFonts w:ascii="Times New Roman" w:hAnsi="Times New Roman"/>
                <w:sz w:val="24"/>
              </w:rPr>
              <w:t xml:space="preserve">s </w:t>
            </w:r>
            <w:r w:rsidR="004D364A" w:rsidRPr="0003236B">
              <w:rPr>
                <w:rFonts w:ascii="Times New Roman" w:hAnsi="Times New Roman"/>
                <w:sz w:val="24"/>
              </w:rPr>
              <w:t>and media: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04076B" w:rsidRPr="005472E9" w:rsidRDefault="0004076B" w:rsidP="0004076B">
            <w:pPr>
              <w:rPr>
                <w:rFonts w:ascii="Cambria" w:hAnsi="Cambria"/>
                <w:szCs w:val="20"/>
              </w:rPr>
            </w:pPr>
            <w:r w:rsidRPr="00544EE2">
              <w:rPr>
                <w:rFonts w:ascii="Cambria" w:hAnsi="Cambria"/>
                <w:szCs w:val="20"/>
              </w:rPr>
              <w:t xml:space="preserve">Textbook of pharmaceutical analysis. Kenneth A. </w:t>
            </w:r>
            <w:proofErr w:type="spellStart"/>
            <w:r w:rsidRPr="00544EE2">
              <w:rPr>
                <w:rFonts w:ascii="Cambria" w:hAnsi="Cambria"/>
                <w:szCs w:val="20"/>
              </w:rPr>
              <w:t>conors</w:t>
            </w:r>
            <w:proofErr w:type="spellEnd"/>
            <w:r w:rsidRPr="00544EE2">
              <w:rPr>
                <w:rFonts w:ascii="Cambria" w:hAnsi="Cambria"/>
                <w:szCs w:val="20"/>
              </w:rPr>
              <w:t xml:space="preserve">, third </w:t>
            </w:r>
            <w:proofErr w:type="spellStart"/>
            <w:r w:rsidRPr="00544EE2">
              <w:rPr>
                <w:rFonts w:ascii="Cambria" w:hAnsi="Cambria"/>
                <w:szCs w:val="20"/>
              </w:rPr>
              <w:t>Edn</w:t>
            </w:r>
            <w:proofErr w:type="spellEnd"/>
            <w:r w:rsidRPr="00544EE2">
              <w:rPr>
                <w:rFonts w:ascii="Cambria" w:hAnsi="Cambria"/>
                <w:szCs w:val="20"/>
              </w:rPr>
              <w:t>.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AA14DE" w:rsidRDefault="00AA14DE" w:rsidP="00DE602A">
      <w:pPr>
        <w:rPr>
          <w:rFonts w:ascii="Times New Roman" w:hAnsi="Times New Roman"/>
          <w:b/>
          <w:bCs/>
          <w:sz w:val="24"/>
        </w:rPr>
      </w:pPr>
    </w:p>
    <w:p w:rsidR="00AA14DE" w:rsidRDefault="00AA14DE" w:rsidP="00DE602A">
      <w:pPr>
        <w:rPr>
          <w:rFonts w:ascii="Times New Roman" w:hAnsi="Times New Roman"/>
          <w:b/>
          <w:bCs/>
          <w:sz w:val="24"/>
        </w:rPr>
      </w:pPr>
    </w:p>
    <w:p w:rsidR="00AA14DE" w:rsidRDefault="00AA14DE" w:rsidP="00DE602A">
      <w:pPr>
        <w:rPr>
          <w:rFonts w:ascii="Times New Roman" w:hAnsi="Times New Roman"/>
          <w:b/>
          <w:bCs/>
          <w:sz w:val="24"/>
        </w:rPr>
      </w:pPr>
    </w:p>
    <w:p w:rsidR="00AA14DE" w:rsidRDefault="00AA14DE" w:rsidP="00DE602A">
      <w:pPr>
        <w:rPr>
          <w:rFonts w:ascii="Times New Roman" w:hAnsi="Times New Roman"/>
          <w:b/>
          <w:bCs/>
          <w:sz w:val="24"/>
        </w:rPr>
      </w:pPr>
    </w:p>
    <w:p w:rsidR="004D364A" w:rsidRPr="0003236B" w:rsidRDefault="001A199A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:rsidTr="00F93F1F">
        <w:tc>
          <w:tcPr>
            <w:tcW w:w="10008" w:type="dxa"/>
          </w:tcPr>
          <w:p w:rsidR="0004076B" w:rsidRPr="0004076B" w:rsidRDefault="0004076B" w:rsidP="0004076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4076B">
              <w:rPr>
                <w:rFonts w:ascii="Cambria" w:hAnsi="Cambria" w:cs="Arial"/>
                <w:b/>
                <w:bCs/>
                <w:sz w:val="22"/>
                <w:szCs w:val="22"/>
              </w:rPr>
              <w:t>Instructional Mode</w:t>
            </w:r>
          </w:p>
          <w:p w:rsidR="0004076B" w:rsidRPr="00CA2330" w:rsidRDefault="0004076B" w:rsidP="0004076B">
            <w:pPr>
              <w:rPr>
                <w:rFonts w:ascii="Cambria" w:hAnsi="Cambria" w:cs="Arial"/>
                <w:sz w:val="22"/>
                <w:szCs w:val="22"/>
              </w:rPr>
            </w:pPr>
            <w:r w:rsidRPr="008C3593">
              <w:rPr>
                <w:rFonts w:ascii="Cambria" w:hAnsi="Cambria" w:cs="Arial"/>
                <w:sz w:val="22"/>
                <w:szCs w:val="22"/>
              </w:rPr>
              <w:t xml:space="preserve">This course is taught in a </w:t>
            </w:r>
            <w:r w:rsidRPr="001A199A">
              <w:rPr>
                <w:rFonts w:ascii="Cambria" w:hAnsi="Cambria" w:cs="Arial"/>
                <w:b/>
                <w:bCs/>
                <w:sz w:val="22"/>
                <w:szCs w:val="22"/>
              </w:rPr>
              <w:t>“blended”</w:t>
            </w:r>
            <w:r w:rsidRPr="008C3593">
              <w:rPr>
                <w:rFonts w:ascii="Cambria" w:hAnsi="Cambria" w:cs="Arial"/>
                <w:sz w:val="22"/>
                <w:szCs w:val="22"/>
              </w:rPr>
              <w:t xml:space="preserve"> learning environment, meaning students interact with course content, instructors, and peers via in-person lab time and online learning.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04076B" w:rsidRDefault="0004076B" w:rsidP="0004076B">
            <w:r w:rsidRPr="00464E51">
              <w:rPr>
                <w:b/>
                <w:bCs/>
              </w:rPr>
              <w:t>Course material and announcements</w:t>
            </w:r>
            <w:r>
              <w:t xml:space="preserve"> : students need to use the university website and use e-learning to obtain the material and attend the uploaded videos for demonstrations , report forms and theory required</w:t>
            </w:r>
          </w:p>
          <w:p w:rsidR="0004076B" w:rsidRDefault="0004076B" w:rsidP="0004076B">
            <w:r>
              <w:t>In addition, course related announcements will be posted on this site, it is the responsibility of the students at the beginning of the semester check in the site on a regular basis to obtain the material required for the specified weeks</w:t>
            </w:r>
          </w:p>
          <w:p w:rsidR="0004076B" w:rsidRPr="00464E51" w:rsidRDefault="0004076B" w:rsidP="0004076B">
            <w:pPr>
              <w:rPr>
                <w:b/>
                <w:bCs/>
              </w:rPr>
            </w:pPr>
            <w:r w:rsidRPr="00464E51">
              <w:rPr>
                <w:b/>
                <w:bCs/>
              </w:rPr>
              <w:t>Grievance policy:</w:t>
            </w:r>
          </w:p>
          <w:p w:rsidR="0004076B" w:rsidRDefault="0004076B" w:rsidP="0004076B">
            <w:r>
              <w:t>According to the general policies applied at the University of Jordan for grievance when there is a complaint or conflict between a student and an academic/staff member or another student the following procedures must be followed :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6"/>
              </w:numPr>
            </w:pPr>
            <w:r>
              <w:t>The student writes a formal complaint describing the situation of conflict to the Dean of the School or the President of the University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6"/>
              </w:numPr>
            </w:pPr>
            <w:r>
              <w:t>Dean or President will first try to resolve the controversy by meeting/listening to both parties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6"/>
              </w:numPr>
            </w:pPr>
            <w:r>
              <w:t>If agreement was not possible, Dean or President forms an investigation committee which will follow, within a specified timeline, the general policies for relevant circumstances. The following points are considered: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7"/>
              </w:numPr>
            </w:pPr>
            <w:r>
              <w:t>The committee will meet/talk to both parties and witnesses ( if applicable) within two weeks of conflict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7"/>
              </w:numPr>
            </w:pPr>
            <w:r>
              <w:t>All meetings and discussions are documented according to university policies</w:t>
            </w:r>
          </w:p>
          <w:p w:rsidR="0004076B" w:rsidRDefault="0004076B" w:rsidP="0004076B">
            <w:pPr>
              <w:pStyle w:val="ListParagraph"/>
              <w:numPr>
                <w:ilvl w:val="0"/>
                <w:numId w:val="7"/>
              </w:numPr>
            </w:pPr>
            <w:r>
              <w:t xml:space="preserve">Results/recommendations will be sent to the Dean or President who is responsible for their implementation 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042425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 -</w:t>
      </w:r>
      <w:r w:rsidR="002A7ECF">
        <w:rPr>
          <w:rFonts w:ascii="Times New Roman" w:hAnsi="Times New Roman"/>
          <w:sz w:val="24"/>
        </w:rPr>
        <w:t>Ruba Tarawneh</w:t>
      </w:r>
      <w:r w:rsidRPr="0003236B">
        <w:rPr>
          <w:rFonts w:ascii="Times New Roman" w:hAnsi="Times New Roman"/>
          <w:sz w:val="24"/>
        </w:rPr>
        <w:t>----Signature: -----------</w:t>
      </w:r>
      <w:r w:rsidR="002A7ECF">
        <w:rPr>
          <w:rFonts w:ascii="Times New Roman" w:hAnsi="Times New Roman"/>
          <w:sz w:val="24"/>
        </w:rPr>
        <w:t xml:space="preserve">------- Date: </w:t>
      </w:r>
      <w:r w:rsidR="00042425">
        <w:rPr>
          <w:rFonts w:ascii="Times New Roman" w:hAnsi="Times New Roman"/>
          <w:sz w:val="24"/>
        </w:rPr>
        <w:t>10/10</w:t>
      </w:r>
      <w:r w:rsidR="002A7ECF">
        <w:rPr>
          <w:rFonts w:ascii="Times New Roman" w:hAnsi="Times New Roman"/>
          <w:sz w:val="24"/>
        </w:rPr>
        <w:t>/202</w:t>
      </w:r>
      <w:r w:rsidR="00E15406">
        <w:rPr>
          <w:rFonts w:ascii="Times New Roman" w:hAnsi="Times New Roman"/>
          <w:sz w:val="24"/>
        </w:rPr>
        <w:t>1</w:t>
      </w:r>
      <w:r w:rsidR="00DE602A" w:rsidRPr="0003236B">
        <w:rPr>
          <w:rFonts w:ascii="Times New Roman" w:hAnsi="Times New Roman"/>
          <w:sz w:val="24"/>
        </w:rPr>
        <w:t>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5B" w:rsidRDefault="003F7A5B">
      <w:r>
        <w:separator/>
      </w:r>
    </w:p>
  </w:endnote>
  <w:endnote w:type="continuationSeparator" w:id="0">
    <w:p w:rsidR="003F7A5B" w:rsidRDefault="003F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1" w:rsidRDefault="00E80691" w:rsidP="00382671">
    <w:pPr>
      <w:pStyle w:val="Footer"/>
      <w:rPr>
        <w:rStyle w:val="PageNumber"/>
      </w:rPr>
    </w:pPr>
    <w:r>
      <w:t xml:space="preserve">        </w:t>
    </w:r>
  </w:p>
  <w:p w:rsidR="00E80691" w:rsidRPr="00653A27" w:rsidRDefault="00E80691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:rsidR="00E80691" w:rsidRDefault="00BD5BD2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DC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1" w:rsidRDefault="00BD5B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DC2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E80691" w:rsidTr="00653A27">
      <w:tc>
        <w:tcPr>
          <w:tcW w:w="10178" w:type="dxa"/>
          <w:shd w:val="clear" w:color="auto" w:fill="auto"/>
        </w:tcPr>
        <w:p w:rsidR="00E80691" w:rsidRPr="0003236B" w:rsidRDefault="00E80691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:rsidR="00E80691" w:rsidRDefault="00E80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5B" w:rsidRDefault="003F7A5B">
      <w:r>
        <w:separator/>
      </w:r>
    </w:p>
  </w:footnote>
  <w:footnote w:type="continuationSeparator" w:id="0">
    <w:p w:rsidR="003F7A5B" w:rsidRDefault="003F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1" w:rsidRDefault="00E80691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1" w:rsidRDefault="00E80691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0691" w:rsidRDefault="00E80691" w:rsidP="00A47C18">
    <w:pPr>
      <w:rPr>
        <w:rFonts w:ascii="Simplified Arabic" w:hAnsi="Simplified Arabic" w:cs="Simplified Arabic"/>
        <w:sz w:val="22"/>
        <w:szCs w:val="22"/>
      </w:rPr>
    </w:pPr>
  </w:p>
  <w:p w:rsidR="00E80691" w:rsidRPr="003E75D7" w:rsidRDefault="00E80691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:rsidR="00E80691" w:rsidRPr="004F47B6" w:rsidRDefault="00E80691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E80691" w:rsidRDefault="00E80691">
    <w:pPr>
      <w:pStyle w:val="Header"/>
      <w:jc w:val="right"/>
      <w:rPr>
        <w:b/>
        <w:sz w:val="28"/>
      </w:rPr>
    </w:pPr>
  </w:p>
  <w:p w:rsidR="00E80691" w:rsidRDefault="00E80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D4C41"/>
    <w:multiLevelType w:val="hybridMultilevel"/>
    <w:tmpl w:val="056A2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2A4E"/>
    <w:multiLevelType w:val="hybridMultilevel"/>
    <w:tmpl w:val="8C868B8C"/>
    <w:lvl w:ilvl="0" w:tplc="F4980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B680E"/>
    <w:multiLevelType w:val="hybridMultilevel"/>
    <w:tmpl w:val="40C0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3B1"/>
    <w:multiLevelType w:val="hybridMultilevel"/>
    <w:tmpl w:val="C2CCA786"/>
    <w:lvl w:ilvl="0" w:tplc="35DA7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076B"/>
    <w:rsid w:val="00042425"/>
    <w:rsid w:val="00047D5D"/>
    <w:rsid w:val="0006104C"/>
    <w:rsid w:val="00067406"/>
    <w:rsid w:val="000700F3"/>
    <w:rsid w:val="000964F0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A199A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204AD"/>
    <w:rsid w:val="002346F7"/>
    <w:rsid w:val="002364C4"/>
    <w:rsid w:val="002445EA"/>
    <w:rsid w:val="00266E80"/>
    <w:rsid w:val="002828E3"/>
    <w:rsid w:val="002835BE"/>
    <w:rsid w:val="002902B4"/>
    <w:rsid w:val="00291693"/>
    <w:rsid w:val="002A7ECF"/>
    <w:rsid w:val="002C45D5"/>
    <w:rsid w:val="002D0E1D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91AE6"/>
    <w:rsid w:val="003B332E"/>
    <w:rsid w:val="003E1014"/>
    <w:rsid w:val="003E75D7"/>
    <w:rsid w:val="003F7A5B"/>
    <w:rsid w:val="0040020F"/>
    <w:rsid w:val="0040165E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35DC2"/>
    <w:rsid w:val="00453BFA"/>
    <w:rsid w:val="00472BA9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3C72"/>
    <w:rsid w:val="00596E06"/>
    <w:rsid w:val="005B1749"/>
    <w:rsid w:val="005C0BF7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E2CFC"/>
    <w:rsid w:val="006F70C6"/>
    <w:rsid w:val="007022AA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C53D0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075D"/>
    <w:rsid w:val="00832EDA"/>
    <w:rsid w:val="00840524"/>
    <w:rsid w:val="00847D78"/>
    <w:rsid w:val="00852826"/>
    <w:rsid w:val="00862D56"/>
    <w:rsid w:val="00863535"/>
    <w:rsid w:val="00880DAA"/>
    <w:rsid w:val="00882E91"/>
    <w:rsid w:val="008833FE"/>
    <w:rsid w:val="008845C8"/>
    <w:rsid w:val="00885F86"/>
    <w:rsid w:val="00887DB7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1738E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A14DE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D5BD2"/>
    <w:rsid w:val="00BE1A4D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69C1"/>
    <w:rsid w:val="00D77409"/>
    <w:rsid w:val="00D806F9"/>
    <w:rsid w:val="00D928AB"/>
    <w:rsid w:val="00D92C1B"/>
    <w:rsid w:val="00D92F11"/>
    <w:rsid w:val="00D963DC"/>
    <w:rsid w:val="00DD25CD"/>
    <w:rsid w:val="00DE602A"/>
    <w:rsid w:val="00DE6FD6"/>
    <w:rsid w:val="00DF368A"/>
    <w:rsid w:val="00E00F98"/>
    <w:rsid w:val="00E13D8A"/>
    <w:rsid w:val="00E15406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80691"/>
    <w:rsid w:val="00EA4756"/>
    <w:rsid w:val="00EB348D"/>
    <w:rsid w:val="00EC0C0B"/>
    <w:rsid w:val="00EC2745"/>
    <w:rsid w:val="00EC794D"/>
    <w:rsid w:val="00EC7ED7"/>
    <w:rsid w:val="00ED2558"/>
    <w:rsid w:val="00ED3034"/>
    <w:rsid w:val="00EE6BEC"/>
    <w:rsid w:val="00F05C4C"/>
    <w:rsid w:val="00F06879"/>
    <w:rsid w:val="00F248B9"/>
    <w:rsid w:val="00F24D05"/>
    <w:rsid w:val="00F4025D"/>
    <w:rsid w:val="00F50625"/>
    <w:rsid w:val="00F51120"/>
    <w:rsid w:val="00F57F5A"/>
    <w:rsid w:val="00F65973"/>
    <w:rsid w:val="00F8519B"/>
    <w:rsid w:val="00F87BA3"/>
    <w:rsid w:val="00F93F1F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D75F29B-AF08-4A01-B18E-2075B6E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828E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2828E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28E3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828E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828E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828E3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28E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2828E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2828E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282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28E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2828E3"/>
    <w:rPr>
      <w:sz w:val="24"/>
    </w:rPr>
  </w:style>
  <w:style w:type="paragraph" w:styleId="BodyText3">
    <w:name w:val="Body Text 3"/>
    <w:basedOn w:val="Normal"/>
    <w:link w:val="BodyText3Char"/>
    <w:rsid w:val="002828E3"/>
    <w:rPr>
      <w:i/>
      <w:sz w:val="24"/>
    </w:rPr>
  </w:style>
  <w:style w:type="paragraph" w:styleId="List">
    <w:name w:val="List"/>
    <w:basedOn w:val="Normal"/>
    <w:rsid w:val="002828E3"/>
    <w:pPr>
      <w:ind w:left="283" w:hanging="283"/>
    </w:pPr>
  </w:style>
  <w:style w:type="paragraph" w:styleId="Caption">
    <w:name w:val="caption"/>
    <w:basedOn w:val="Normal"/>
    <w:next w:val="Normal"/>
    <w:qFormat/>
    <w:rsid w:val="002828E3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2828E3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2828E3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2828E3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2828E3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2828E3"/>
    <w:pPr>
      <w:jc w:val="both"/>
    </w:pPr>
  </w:style>
  <w:style w:type="paragraph" w:customStyle="1" w:styleId="level">
    <w:name w:val="level"/>
    <w:basedOn w:val="Normal"/>
    <w:rsid w:val="002828E3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2828E3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2828E3"/>
    <w:rPr>
      <w:vertAlign w:val="superscript"/>
    </w:rPr>
  </w:style>
  <w:style w:type="character" w:styleId="Hyperlink">
    <w:name w:val="Hyperlink"/>
    <w:rsid w:val="002828E3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2828E3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2828E3"/>
    <w:rPr>
      <w:color w:val="800080"/>
      <w:u w:val="single"/>
    </w:rPr>
  </w:style>
  <w:style w:type="character" w:styleId="PageNumber">
    <w:name w:val="page number"/>
    <w:basedOn w:val="DefaultParagraphFont"/>
    <w:rsid w:val="002828E3"/>
  </w:style>
  <w:style w:type="paragraph" w:styleId="BalloonText">
    <w:name w:val="Balloon Text"/>
    <w:basedOn w:val="Normal"/>
    <w:link w:val="BalloonTextChar"/>
    <w:semiHidden/>
    <w:rsid w:val="002828E3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8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Ruba Tarawneh</cp:lastModifiedBy>
  <cp:revision>5</cp:revision>
  <cp:lastPrinted>2021-09-28T06:19:00Z</cp:lastPrinted>
  <dcterms:created xsi:type="dcterms:W3CDTF">2021-09-12T06:04:00Z</dcterms:created>
  <dcterms:modified xsi:type="dcterms:W3CDTF">2021-10-11T08:11:00Z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</Properties>
</file>